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rPr/>
      </w:pPr>
      <w:bookmarkStart w:colFirst="0" w:colLast="0" w:name="_9w48tjkzmn4p" w:id="0"/>
      <w:bookmarkEnd w:id="0"/>
      <w:r w:rsidDel="00000000" w:rsidR="00000000" w:rsidRPr="00000000">
        <w:rPr>
          <w:rtl w:val="0"/>
        </w:rPr>
        <w:t xml:space="preserve">Comprehensive Exam Question Pool for Computer Vision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following list forms a pool of study questions for MS or PhD students. Please note that such a list of questions is unusual in comprehensive exams: it is provided as a courtesy. However, the Department reserves the right to adjust the questions administered at any time without notice. Because students have fore­knowledge of the questions being asked, please be aware that the explanations are expected to be (a) very well organized and well written, (b) fully discussed, and (c) highly focused. It is strongly recommended that you DO: study for the comprehensive exam by studying each topic with outlines and examples.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Format of exam: You will be provided with a list of questions selected at random among the list below on the morning of the exam. For Masters or PhD students, five or three questions will be asked, respectively. The test is closed book. Explain each topic in detail up to 10 lines excluding illustrations or drawings if necessary.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Classifier: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Support Vector Machine,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Adaboost,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Neural Networks,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Bayes classifier,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K-­nearest neighbors,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Decision tree,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Random forest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Camera model and Image warping</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Pinhole camera model,</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Camera calibration,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Stereo calibration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Homography, Affine warping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Feature detection and description,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SIFT, SURF, HOG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Hough transform,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RANSAC,</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Corner detection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Sliding Window</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Template Matching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Scale invariant recognition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Integral Image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Color models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Depth sensors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TOF camera,</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Kinect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Edge detectors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Canny edge detector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Laplace edge detector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Tracking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Kalman filter,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Camshift, Meanshift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EM algorithm</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Particle filter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Face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Face detection,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Face recognition : PCA, LDA, Eigenface, Fisherface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Active appearance model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Morphology operation : Dilation, Erosion, Opening, Closing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Motion estimation and Structure from Motion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Epipolar geometry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Fundamental matrix and Essential matrix</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8-point algorithm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3-point algorithm (P3P)</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Bundle adjustment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3D reconstruction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Stereo rectification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Dense stereo matching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Global optimization in stereo matching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Image stitching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Background modeling for video</w:t>
      </w:r>
    </w:p>
    <w:p w:rsidR="00000000" w:rsidDel="00000000" w:rsidP="00000000" w:rsidRDefault="00000000" w:rsidRPr="00000000">
      <w:pPr>
        <w:contextualSpacing w:val="0"/>
        <w:rPr/>
      </w:pPr>
      <w:r w:rsidDel="00000000" w:rsidR="00000000" w:rsidRPr="00000000">
        <w:rPr>
          <w:rtl w:val="0"/>
        </w:rPr>
      </w:r>
    </w:p>
    <w:sectPr>
      <w:pgSz w:h="16838" w:w="11906"/>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